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医疗保障局</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医疗保障局</w:t>
      </w:r>
      <w:r>
        <w:rPr>
          <w:rFonts w:ascii="Times New Roman" w:hAnsi="Times New Roman" w:eastAsia="仿宋_GB2312" w:cs="Times New Roman"/>
          <w:sz w:val="32"/>
          <w:szCs w:val="32"/>
        </w:rPr>
        <w:t>2022年单位预算公开如下：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pStyle w:val="12"/>
      </w:pPr>
      <w:r>
        <w:t>1、贯彻落实市城镇职工和城乡居民医疗保险、生育保险、大病保险、医疗救助等医疗保障地方性政策、制度、规划和标准。贯彻落实省市离休干部医疗费社会统筹政策并组织实施。</w:t>
      </w:r>
    </w:p>
    <w:p>
      <w:pPr>
        <w:pStyle w:val="12"/>
      </w:pPr>
      <w:r>
        <w:t>2、贯彻落实市医疗保障基金监督管理办法，建立健全医疗保障基金安全防控机制，组织建设智能监控平台，推进医疗保障基金支付方式改革，并组织实施。</w:t>
      </w:r>
    </w:p>
    <w:p>
      <w:pPr>
        <w:pStyle w:val="12"/>
      </w:pPr>
      <w:r>
        <w:t>3、贯彻落实市城镇职工、城乡居民参保筹资和保障待遇政策，统筹城乡医疗保障政策标准，建立健全与筹资水平相适应的待遇调整机制。贯彻落实市长期护理保险制度方案及政策标准并组织实施。</w:t>
      </w:r>
    </w:p>
    <w:p>
      <w:pPr>
        <w:pStyle w:val="12"/>
      </w:pPr>
      <w:r>
        <w:t>4、贯彻落实市城乡统一的药品、医用耗材、医疗服务项目、医疗服务设施等医保目录、医疗服务设施的医保支付标准并组织实施，建立动态调整机制。</w:t>
      </w:r>
    </w:p>
    <w:p>
      <w:pPr>
        <w:pStyle w:val="12"/>
      </w:pPr>
      <w:r>
        <w:t>5、贯彻落实市药品、医用耗材价格和医疗服务项目、医疗服务设施收费等政策。建立医保支付医药服务价格合理确定和动态调整机制，依法管理药品、医用耗材、医疗服务价格政策执行情况。建立和完善药品、医用耗材和医疗服务价格监测信息发布制度。</w:t>
      </w:r>
    </w:p>
    <w:p>
      <w:pPr>
        <w:pStyle w:val="12"/>
      </w:pPr>
      <w:r>
        <w:t>6、贯彻落实市药品、医用耗材的招标采购政策，做好监督工作。按省市相关文件要求做好药品、医用耗材招标采购平台建设工作。</w:t>
      </w:r>
    </w:p>
    <w:p>
      <w:pPr>
        <w:pStyle w:val="12"/>
      </w:pPr>
      <w:r>
        <w:t>7、组织实施市定点医药机构协议和支付管理办法。建立健全医疗保障信用评价体系和信息披露制度，监督管理定点医药机构的医疗服务行为、医疗费用和医药价格，依法查处医疗保障领域违法违规行为。</w:t>
      </w:r>
    </w:p>
    <w:p>
      <w:pPr>
        <w:pStyle w:val="12"/>
      </w:pPr>
      <w:r>
        <w:t>8、负责医疗保障经办管理、公共服务体系和信息化建设。落实和完善异地就医管理和费用结算政策并组织实施。建立健全医疗保障关系转移接续制度。</w:t>
      </w:r>
    </w:p>
    <w:p>
      <w:pPr>
        <w:pStyle w:val="12"/>
        <w:sectPr>
          <w:pgSz w:w="16840" w:h="11900" w:orient="landscape"/>
          <w:pgMar w:top="1020" w:right="1361" w:bottom="1020" w:left="1361" w:header="720" w:footer="720" w:gutter="0"/>
          <w:pgNumType w:start="1"/>
          <w:cols w:space="720" w:num="1"/>
          <w:docGrid w:linePitch="286" w:charSpace="0"/>
        </w:sectPr>
      </w:pPr>
      <w:r>
        <w:t>9、完成县委、县政府交办的其他任务。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rPr>
              <w:t>香河县医疗保障局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rPr>
        <w:t>医疗保障局（本级）</w:t>
      </w:r>
      <w:r>
        <w:rPr>
          <w:rFonts w:ascii="Times New Roman" w:hAnsi="Times New Roman" w:eastAsia="仿宋_GB2312" w:cs="Times New Roman"/>
          <w:color w:val="000000" w:themeColor="text1"/>
          <w:sz w:val="32"/>
          <w:szCs w:val="32"/>
          <w14:textFill>
            <w14:solidFill>
              <w14:schemeClr w14:val="tx1"/>
            </w14:solidFill>
          </w14:textFill>
        </w:rPr>
        <w:t>单位的</w:t>
      </w:r>
      <w:r>
        <w:rPr>
          <w:rFonts w:ascii="Times New Roman" w:hAnsi="Times New Roman" w:eastAsia="仿宋_GB2312" w:cs="Times New Roman"/>
          <w:sz w:val="32"/>
          <w:szCs w:val="32"/>
        </w:rPr>
        <w:t>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反映本单位当年全部收入。2022年预算收入</w:t>
      </w:r>
      <w:r>
        <w:rPr>
          <w:rFonts w:hint="eastAsia" w:ascii="Times New Roman" w:hAnsi="Times New Roman" w:eastAsia="仿宋_GB2312" w:cs="Times New Roman"/>
          <w:sz w:val="32"/>
          <w:szCs w:val="32"/>
        </w:rPr>
        <w:t>680.07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680.07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年度单位预算中支出预算的总体情况。2022年支出预算</w:t>
      </w:r>
      <w:r>
        <w:rPr>
          <w:rFonts w:hint="eastAsia" w:ascii="Times New Roman" w:hAnsi="Times New Roman" w:eastAsia="仿宋_GB2312" w:cs="Times New Roman"/>
          <w:sz w:val="32"/>
          <w:szCs w:val="32"/>
        </w:rPr>
        <w:t>680.07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173.47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150.16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23.31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506.60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506.60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单位办公场所租金、日常业务经费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680.07</w:t>
      </w:r>
      <w:r>
        <w:rPr>
          <w:rFonts w:ascii="Times New Roman" w:hAnsi="Times New Roman" w:eastAsia="仿宋_GB2312" w:cs="Times New Roman"/>
          <w:sz w:val="32"/>
          <w:szCs w:val="32"/>
        </w:rPr>
        <w:t>万元，较2021年预算增加</w:t>
      </w:r>
      <w:r>
        <w:rPr>
          <w:rFonts w:hint="eastAsia" w:ascii="Times New Roman" w:hAnsi="Times New Roman" w:eastAsia="仿宋_GB2312" w:cs="Times New Roman"/>
          <w:sz w:val="32"/>
          <w:szCs w:val="32"/>
        </w:rPr>
        <w:t>436.04</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7.56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443.60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单位办公场所租金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rPr>
        <w:t>23.31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办公费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邮电</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rPr>
        <w:t>工会经费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公务用车运行维护费</w:t>
      </w:r>
      <w:r>
        <w:rPr>
          <w:rFonts w:ascii="Times New Roman" w:hAnsi="Times New Roman" w:eastAsia="仿宋_GB2312" w:cs="Times New Roman"/>
          <w:sz w:val="32"/>
          <w:szCs w:val="32"/>
        </w:rPr>
        <w:t>等日常运行支出。</w:t>
      </w:r>
      <w:bookmarkStart w:id="8" w:name="_GoBack"/>
      <w:bookmarkEnd w:id="8"/>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rPr>
        <w:t>1.9</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无增加变化，其中，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增加0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增加0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无增加变化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无增加变化。</w:t>
      </w:r>
    </w:p>
    <w:p>
      <w:pPr>
        <w:spacing w:line="584" w:lineRule="exact"/>
        <w:ind w:firstLine="640" w:firstLineChars="200"/>
        <w:rPr>
          <w:rFonts w:ascii="仿宋_GB2312" w:eastAsia="仿宋_GB2312" w:cs="Times New Roman"/>
          <w:color w:val="FF0000"/>
          <w:sz w:val="32"/>
          <w:szCs w:val="32"/>
        </w:rPr>
      </w:pPr>
      <w:r>
        <w:rPr>
          <w:rFonts w:ascii="Times New Roman" w:hAnsi="Times New Roman" w:eastAsia="黑体" w:cs="Times New Roman"/>
          <w:sz w:val="32"/>
          <w:szCs w:val="32"/>
        </w:rPr>
        <w:t>五、绩效预算信息</w:t>
      </w:r>
    </w:p>
    <w:p>
      <w:pPr>
        <w:ind w:firstLine="560"/>
        <w:outlineLvl w:val="3"/>
        <w:rPr>
          <w:rFonts w:ascii="方正仿宋_GBK" w:hAnsi="方正仿宋_GBK" w:eastAsia="方正仿宋_GBK" w:cs="方正仿宋_GBK"/>
          <w:color w:val="000000"/>
          <w:sz w:val="28"/>
        </w:rPr>
      </w:pPr>
      <w:bookmarkStart w:id="0" w:name="_Toc_4_4_0000000004"/>
      <w:r>
        <w:rPr>
          <w:rFonts w:ascii="方正仿宋_GBK" w:hAnsi="方正仿宋_GBK" w:eastAsia="方正仿宋_GBK" w:cs="方正仿宋_GBK"/>
          <w:color w:val="000000"/>
          <w:sz w:val="28"/>
        </w:rPr>
        <w:t>1.医保局日常业务经费绩效目标表</w:t>
      </w:r>
      <w:bookmarkEnd w:id="0"/>
    </w:p>
    <w:p>
      <w:pPr>
        <w:ind w:firstLine="560"/>
        <w:outlineLvl w:val="3"/>
        <w:rPr>
          <w:rFonts w:ascii="方正仿宋_GBK" w:hAnsi="方正仿宋_GBK" w:eastAsia="方正仿宋_GBK" w:cs="方正仿宋_GBK"/>
          <w:color w:val="000000"/>
          <w:sz w:val="28"/>
        </w:rPr>
      </w:pPr>
    </w:p>
    <w:tbl>
      <w:tblPr>
        <w:tblStyle w:val="8"/>
        <w:tblW w:w="1154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02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10267" w:type="dxa"/>
            <w:vAlign w:val="center"/>
          </w:tcPr>
          <w:p>
            <w:pPr>
              <w:pStyle w:val="15"/>
            </w:pPr>
            <w:r>
              <w:t>1.保障医保局日常办公经费支出。</w:t>
            </w:r>
          </w:p>
          <w:p>
            <w:pPr>
              <w:pStyle w:val="15"/>
            </w:pPr>
            <w:r>
              <w:t>2.保障编外人员的劳务费和各项保险支出等按时拨付。</w:t>
            </w:r>
          </w:p>
          <w:p>
            <w:pPr>
              <w:pStyle w:val="15"/>
            </w:pPr>
            <w:r>
              <w:t>3.个人所得税更加合理化和局内所有事务更加规范性、合法性。</w:t>
            </w:r>
          </w:p>
        </w:tc>
      </w:tr>
    </w:tbl>
    <w:p>
      <w:pPr>
        <w:spacing w:line="2" w:lineRule="exact"/>
        <w:jc w:val="center"/>
      </w:pPr>
    </w:p>
    <w:tbl>
      <w:tblPr>
        <w:tblStyle w:val="8"/>
        <w:tblW w:w="115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3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349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日常业务经费开支</w:t>
            </w:r>
          </w:p>
        </w:tc>
        <w:tc>
          <w:tcPr>
            <w:tcW w:w="2891" w:type="dxa"/>
            <w:vAlign w:val="center"/>
          </w:tcPr>
          <w:p>
            <w:pPr>
              <w:pStyle w:val="15"/>
            </w:pPr>
            <w:r>
              <w:t>日常业务经费开支开展的月份</w:t>
            </w:r>
          </w:p>
        </w:tc>
        <w:tc>
          <w:tcPr>
            <w:tcW w:w="1276" w:type="dxa"/>
            <w:vAlign w:val="center"/>
          </w:tcPr>
          <w:p>
            <w:pPr>
              <w:pStyle w:val="15"/>
            </w:pPr>
            <w:r>
              <w:t>12个月</w:t>
            </w:r>
          </w:p>
        </w:tc>
        <w:tc>
          <w:tcPr>
            <w:tcW w:w="3491"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经费支出合理性</w:t>
            </w:r>
          </w:p>
        </w:tc>
        <w:tc>
          <w:tcPr>
            <w:tcW w:w="2891" w:type="dxa"/>
            <w:vAlign w:val="center"/>
          </w:tcPr>
          <w:p>
            <w:pPr>
              <w:pStyle w:val="15"/>
            </w:pPr>
            <w:r>
              <w:t>各项经费的支出合理性</w:t>
            </w:r>
          </w:p>
        </w:tc>
        <w:tc>
          <w:tcPr>
            <w:tcW w:w="1276" w:type="dxa"/>
            <w:vAlign w:val="center"/>
          </w:tcPr>
          <w:p>
            <w:pPr>
              <w:pStyle w:val="15"/>
            </w:pPr>
            <w:r>
              <w:t>100%</w:t>
            </w:r>
          </w:p>
        </w:tc>
        <w:tc>
          <w:tcPr>
            <w:tcW w:w="3491"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完成年度指标，在本年度内完成</w:t>
            </w:r>
          </w:p>
        </w:tc>
        <w:tc>
          <w:tcPr>
            <w:tcW w:w="1276" w:type="dxa"/>
            <w:vAlign w:val="center"/>
          </w:tcPr>
          <w:p>
            <w:pPr>
              <w:pStyle w:val="15"/>
            </w:pPr>
            <w:r>
              <w:t>≤1年</w:t>
            </w:r>
          </w:p>
        </w:tc>
        <w:tc>
          <w:tcPr>
            <w:tcW w:w="3491"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月均成本</w:t>
            </w:r>
          </w:p>
        </w:tc>
        <w:tc>
          <w:tcPr>
            <w:tcW w:w="2891" w:type="dxa"/>
            <w:vAlign w:val="center"/>
          </w:tcPr>
          <w:p>
            <w:pPr>
              <w:pStyle w:val="15"/>
            </w:pPr>
            <w:r>
              <w:t>本年度预算总额度除以12个月</w:t>
            </w:r>
          </w:p>
        </w:tc>
        <w:tc>
          <w:tcPr>
            <w:tcW w:w="1276" w:type="dxa"/>
            <w:vAlign w:val="center"/>
          </w:tcPr>
          <w:p>
            <w:pPr>
              <w:pStyle w:val="15"/>
            </w:pPr>
            <w:r>
              <w:t>≤6.3万元</w:t>
            </w:r>
          </w:p>
        </w:tc>
        <w:tc>
          <w:tcPr>
            <w:tcW w:w="3491"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工作运行</w:t>
            </w:r>
          </w:p>
        </w:tc>
        <w:tc>
          <w:tcPr>
            <w:tcW w:w="2891" w:type="dxa"/>
            <w:vAlign w:val="center"/>
          </w:tcPr>
          <w:p>
            <w:pPr>
              <w:pStyle w:val="15"/>
            </w:pPr>
            <w:r>
              <w:t>保障政策工作运行的时间</w:t>
            </w:r>
          </w:p>
        </w:tc>
        <w:tc>
          <w:tcPr>
            <w:tcW w:w="1276" w:type="dxa"/>
            <w:vAlign w:val="center"/>
          </w:tcPr>
          <w:p>
            <w:pPr>
              <w:pStyle w:val="15"/>
            </w:pPr>
            <w:r>
              <w:t>12个月</w:t>
            </w:r>
          </w:p>
        </w:tc>
        <w:tc>
          <w:tcPr>
            <w:tcW w:w="3491"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服务质量</w:t>
            </w:r>
          </w:p>
        </w:tc>
        <w:tc>
          <w:tcPr>
            <w:tcW w:w="2891" w:type="dxa"/>
            <w:vAlign w:val="center"/>
          </w:tcPr>
          <w:p>
            <w:pPr>
              <w:pStyle w:val="15"/>
            </w:pPr>
            <w:r>
              <w:t>提高医保局的服务质量</w:t>
            </w:r>
          </w:p>
        </w:tc>
        <w:tc>
          <w:tcPr>
            <w:tcW w:w="1276" w:type="dxa"/>
            <w:vAlign w:val="center"/>
          </w:tcPr>
          <w:p>
            <w:pPr>
              <w:pStyle w:val="15"/>
            </w:pPr>
            <w:r>
              <w:t>有所提高</w:t>
            </w:r>
          </w:p>
        </w:tc>
        <w:tc>
          <w:tcPr>
            <w:tcW w:w="3491"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人员满意度</w:t>
            </w:r>
          </w:p>
        </w:tc>
        <w:tc>
          <w:tcPr>
            <w:tcW w:w="2891" w:type="dxa"/>
            <w:vAlign w:val="center"/>
          </w:tcPr>
          <w:p>
            <w:pPr>
              <w:pStyle w:val="15"/>
            </w:pPr>
            <w:r>
              <w:t>人员的满意程度</w:t>
            </w:r>
          </w:p>
        </w:tc>
        <w:tc>
          <w:tcPr>
            <w:tcW w:w="1276" w:type="dxa"/>
            <w:vAlign w:val="center"/>
          </w:tcPr>
          <w:p>
            <w:pPr>
              <w:pStyle w:val="15"/>
            </w:pPr>
            <w:r>
              <w:t>≥95%</w:t>
            </w:r>
          </w:p>
        </w:tc>
        <w:tc>
          <w:tcPr>
            <w:tcW w:w="3491" w:type="dxa"/>
            <w:vAlign w:val="center"/>
          </w:tcPr>
          <w:p>
            <w:pPr>
              <w:pStyle w:val="15"/>
            </w:pPr>
            <w:r>
              <w:t>实际调查情况</w:t>
            </w:r>
          </w:p>
        </w:tc>
      </w:tr>
    </w:tbl>
    <w:p>
      <w:pPr>
        <w:sectPr>
          <w:pgSz w:w="16840" w:h="11900" w:orient="landscape"/>
          <w:pgMar w:top="1304" w:right="1134" w:bottom="1304" w:left="1984" w:header="720" w:footer="720" w:gutter="0"/>
          <w:cols w:space="720" w:num="1"/>
        </w:sectPr>
      </w:pPr>
    </w:p>
    <w:p>
      <w:pPr>
        <w:jc w:val="center"/>
      </w:pPr>
    </w:p>
    <w:p>
      <w:pPr>
        <w:ind w:firstLine="560"/>
        <w:outlineLvl w:val="3"/>
      </w:pPr>
      <w:bookmarkStart w:id="1" w:name="_Toc_4_4_0000000005"/>
      <w:r>
        <w:rPr>
          <w:rFonts w:ascii="方正仿宋_GBK" w:hAnsi="方正仿宋_GBK" w:eastAsia="方正仿宋_GBK" w:cs="方正仿宋_GBK"/>
          <w:color w:val="000000"/>
          <w:sz w:val="28"/>
        </w:rPr>
        <w:t>2.单位办公场所租金绩效目标表</w:t>
      </w:r>
      <w:bookmarkEnd w:id="1"/>
    </w:p>
    <w:tbl>
      <w:tblPr>
        <w:tblStyle w:val="8"/>
        <w:tblW w:w="105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8"/>
        <w:gridCol w:w="951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8" w:type="dxa"/>
            <w:vAlign w:val="center"/>
          </w:tcPr>
          <w:p>
            <w:pPr>
              <w:pStyle w:val="16"/>
            </w:pPr>
            <w:r>
              <w:t>绩效目标</w:t>
            </w:r>
          </w:p>
        </w:tc>
        <w:tc>
          <w:tcPr>
            <w:tcW w:w="9512" w:type="dxa"/>
            <w:vAlign w:val="center"/>
          </w:tcPr>
          <w:p>
            <w:pPr>
              <w:pStyle w:val="15"/>
            </w:pPr>
            <w:r>
              <w:t>1.通过租赁单位办公地点，从而保障医保局日常运行和医保工作的正常开展。</w:t>
            </w:r>
            <w:r>
              <w:tab/>
            </w:r>
            <w:r>
              <w:tab/>
            </w:r>
            <w:r>
              <w:tab/>
            </w:r>
          </w:p>
          <w:p>
            <w:pPr>
              <w:pStyle w:val="15"/>
            </w:pPr>
          </w:p>
        </w:tc>
      </w:tr>
    </w:tbl>
    <w:p>
      <w:pPr>
        <w:spacing w:line="2" w:lineRule="exact"/>
        <w:jc w:val="center"/>
      </w:pPr>
    </w:p>
    <w:tbl>
      <w:tblPr>
        <w:tblStyle w:val="8"/>
        <w:tblW w:w="105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0"/>
        <w:gridCol w:w="1276"/>
        <w:gridCol w:w="1332"/>
        <w:gridCol w:w="2891"/>
        <w:gridCol w:w="1276"/>
        <w:gridCol w:w="2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220"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253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租金开支开展的月份</w:t>
            </w:r>
          </w:p>
        </w:tc>
        <w:tc>
          <w:tcPr>
            <w:tcW w:w="2891" w:type="dxa"/>
            <w:vAlign w:val="center"/>
          </w:tcPr>
          <w:p>
            <w:pPr>
              <w:pStyle w:val="15"/>
            </w:pPr>
            <w:r>
              <w:t>租金开支开展的月份</w:t>
            </w:r>
          </w:p>
        </w:tc>
        <w:tc>
          <w:tcPr>
            <w:tcW w:w="1276" w:type="dxa"/>
            <w:vAlign w:val="center"/>
          </w:tcPr>
          <w:p>
            <w:pPr>
              <w:pStyle w:val="15"/>
            </w:pPr>
            <w:r>
              <w:t>12个月</w:t>
            </w:r>
          </w:p>
        </w:tc>
        <w:tc>
          <w:tcPr>
            <w:tcW w:w="253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continue"/>
            <w:vAlign w:val="center"/>
          </w:tcPr>
          <w:p/>
        </w:tc>
        <w:tc>
          <w:tcPr>
            <w:tcW w:w="1276" w:type="dxa"/>
            <w:vAlign w:val="center"/>
          </w:tcPr>
          <w:p>
            <w:pPr>
              <w:pStyle w:val="15"/>
            </w:pPr>
            <w:r>
              <w:t>质量指标</w:t>
            </w:r>
          </w:p>
        </w:tc>
        <w:tc>
          <w:tcPr>
            <w:tcW w:w="1332" w:type="dxa"/>
            <w:vAlign w:val="center"/>
          </w:tcPr>
          <w:p>
            <w:pPr>
              <w:pStyle w:val="15"/>
            </w:pPr>
            <w:r>
              <w:t>支出合理性</w:t>
            </w:r>
          </w:p>
        </w:tc>
        <w:tc>
          <w:tcPr>
            <w:tcW w:w="2891" w:type="dxa"/>
            <w:vAlign w:val="center"/>
          </w:tcPr>
          <w:p>
            <w:pPr>
              <w:pStyle w:val="15"/>
            </w:pPr>
            <w:r>
              <w:t>各项支出合理性</w:t>
            </w:r>
          </w:p>
        </w:tc>
        <w:tc>
          <w:tcPr>
            <w:tcW w:w="1276" w:type="dxa"/>
            <w:vAlign w:val="center"/>
          </w:tcPr>
          <w:p>
            <w:pPr>
              <w:pStyle w:val="15"/>
            </w:pPr>
            <w:r>
              <w:t>100%</w:t>
            </w:r>
          </w:p>
        </w:tc>
        <w:tc>
          <w:tcPr>
            <w:tcW w:w="253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continue"/>
            <w:vAlign w:val="center"/>
          </w:tcPr>
          <w:p/>
        </w:tc>
        <w:tc>
          <w:tcPr>
            <w:tcW w:w="1276" w:type="dxa"/>
            <w:vAlign w:val="center"/>
          </w:tcPr>
          <w:p>
            <w:pPr>
              <w:pStyle w:val="15"/>
            </w:pPr>
            <w:r>
              <w:t>时效指标</w:t>
            </w:r>
          </w:p>
        </w:tc>
        <w:tc>
          <w:tcPr>
            <w:tcW w:w="1332" w:type="dxa"/>
            <w:vAlign w:val="center"/>
          </w:tcPr>
          <w:p>
            <w:pPr>
              <w:pStyle w:val="15"/>
            </w:pPr>
            <w:r>
              <w:t>场馆设备维护及时率</w:t>
            </w:r>
          </w:p>
        </w:tc>
        <w:tc>
          <w:tcPr>
            <w:tcW w:w="2891" w:type="dxa"/>
            <w:vAlign w:val="center"/>
          </w:tcPr>
          <w:p>
            <w:pPr>
              <w:pStyle w:val="15"/>
            </w:pPr>
            <w:r>
              <w:t>场馆设备维护及时率</w:t>
            </w:r>
          </w:p>
        </w:tc>
        <w:tc>
          <w:tcPr>
            <w:tcW w:w="1276" w:type="dxa"/>
            <w:vAlign w:val="center"/>
          </w:tcPr>
          <w:p>
            <w:pPr>
              <w:pStyle w:val="15"/>
            </w:pPr>
            <w:r>
              <w:t>≥95年</w:t>
            </w:r>
          </w:p>
        </w:tc>
        <w:tc>
          <w:tcPr>
            <w:tcW w:w="253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continue"/>
            <w:vAlign w:val="center"/>
          </w:tcPr>
          <w:p/>
        </w:tc>
        <w:tc>
          <w:tcPr>
            <w:tcW w:w="1276" w:type="dxa"/>
            <w:vAlign w:val="center"/>
          </w:tcPr>
          <w:p>
            <w:pPr>
              <w:pStyle w:val="15"/>
            </w:pPr>
            <w:r>
              <w:t>成本指标</w:t>
            </w:r>
          </w:p>
        </w:tc>
        <w:tc>
          <w:tcPr>
            <w:tcW w:w="1332" w:type="dxa"/>
            <w:vAlign w:val="center"/>
          </w:tcPr>
          <w:p>
            <w:pPr>
              <w:pStyle w:val="15"/>
            </w:pPr>
            <w:r>
              <w:t>月均成本</w:t>
            </w:r>
          </w:p>
        </w:tc>
        <w:tc>
          <w:tcPr>
            <w:tcW w:w="2891" w:type="dxa"/>
            <w:vAlign w:val="center"/>
          </w:tcPr>
          <w:p>
            <w:pPr>
              <w:pStyle w:val="15"/>
            </w:pPr>
            <w:r>
              <w:t>本年度预算总额度除以12个月</w:t>
            </w:r>
          </w:p>
        </w:tc>
        <w:tc>
          <w:tcPr>
            <w:tcW w:w="1276" w:type="dxa"/>
            <w:vAlign w:val="center"/>
          </w:tcPr>
          <w:p>
            <w:pPr>
              <w:pStyle w:val="15"/>
            </w:pPr>
            <w:r>
              <w:t>≤29.8万元</w:t>
            </w:r>
          </w:p>
        </w:tc>
        <w:tc>
          <w:tcPr>
            <w:tcW w:w="2533"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工作运行</w:t>
            </w:r>
          </w:p>
        </w:tc>
        <w:tc>
          <w:tcPr>
            <w:tcW w:w="2891" w:type="dxa"/>
            <w:vAlign w:val="center"/>
          </w:tcPr>
          <w:p>
            <w:pPr>
              <w:pStyle w:val="15"/>
            </w:pPr>
            <w:r>
              <w:t>保障医保工作运行的时间</w:t>
            </w:r>
          </w:p>
        </w:tc>
        <w:tc>
          <w:tcPr>
            <w:tcW w:w="1276" w:type="dxa"/>
            <w:vAlign w:val="center"/>
          </w:tcPr>
          <w:p>
            <w:pPr>
              <w:pStyle w:val="15"/>
            </w:pPr>
            <w:r>
              <w:t>12个月</w:t>
            </w:r>
          </w:p>
        </w:tc>
        <w:tc>
          <w:tcPr>
            <w:tcW w:w="2533"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Merge w:val="continue"/>
            <w:vAlign w:val="center"/>
          </w:tcPr>
          <w:p/>
        </w:tc>
        <w:tc>
          <w:tcPr>
            <w:tcW w:w="1276" w:type="dxa"/>
            <w:vAlign w:val="center"/>
          </w:tcPr>
          <w:p>
            <w:pPr>
              <w:pStyle w:val="15"/>
            </w:pPr>
            <w:r>
              <w:t>可持续影响指标</w:t>
            </w:r>
          </w:p>
        </w:tc>
        <w:tc>
          <w:tcPr>
            <w:tcW w:w="1332" w:type="dxa"/>
            <w:vAlign w:val="center"/>
          </w:tcPr>
          <w:p>
            <w:pPr>
              <w:pStyle w:val="15"/>
            </w:pPr>
            <w:r>
              <w:t>服务质量</w:t>
            </w:r>
          </w:p>
        </w:tc>
        <w:tc>
          <w:tcPr>
            <w:tcW w:w="2891" w:type="dxa"/>
            <w:vAlign w:val="center"/>
          </w:tcPr>
          <w:p>
            <w:pPr>
              <w:pStyle w:val="15"/>
            </w:pPr>
            <w:r>
              <w:t>服务质量是否提高</w:t>
            </w:r>
          </w:p>
        </w:tc>
        <w:tc>
          <w:tcPr>
            <w:tcW w:w="1276" w:type="dxa"/>
            <w:vAlign w:val="center"/>
          </w:tcPr>
          <w:p>
            <w:pPr>
              <w:pStyle w:val="15"/>
            </w:pPr>
            <w:r>
              <w:t>有所提高</w:t>
            </w:r>
          </w:p>
        </w:tc>
        <w:tc>
          <w:tcPr>
            <w:tcW w:w="253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0"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人员满意度</w:t>
            </w:r>
          </w:p>
        </w:tc>
        <w:tc>
          <w:tcPr>
            <w:tcW w:w="2891" w:type="dxa"/>
            <w:vAlign w:val="center"/>
          </w:tcPr>
          <w:p>
            <w:pPr>
              <w:pStyle w:val="15"/>
            </w:pPr>
            <w:r>
              <w:t>人员的满意程度</w:t>
            </w:r>
          </w:p>
        </w:tc>
        <w:tc>
          <w:tcPr>
            <w:tcW w:w="1276" w:type="dxa"/>
            <w:vAlign w:val="center"/>
          </w:tcPr>
          <w:p>
            <w:pPr>
              <w:pStyle w:val="15"/>
            </w:pPr>
            <w:r>
              <w:t>≥95%</w:t>
            </w:r>
          </w:p>
        </w:tc>
        <w:tc>
          <w:tcPr>
            <w:tcW w:w="2533" w:type="dxa"/>
            <w:vAlign w:val="center"/>
          </w:tcPr>
          <w:p>
            <w:pPr>
              <w:pStyle w:val="15"/>
            </w:pPr>
            <w:r>
              <w:t>实际调查情况</w:t>
            </w:r>
          </w:p>
        </w:tc>
      </w:tr>
    </w:tbl>
    <w:p>
      <w:pPr>
        <w:sectPr>
          <w:pgSz w:w="16840" w:h="11900" w:orient="landscape"/>
          <w:pgMar w:top="1304" w:right="1134" w:bottom="1304" w:left="198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color w:val="000000"/>
          <w:sz w:val="28"/>
        </w:rPr>
        <w:t>3.冀财社【2021】164号关于提前下达2022年中央财政医疗服务与保障能力提升补助资金的通知绩效目标表</w:t>
      </w:r>
      <w:bookmarkEnd w:id="2"/>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vAlign w:val="center"/>
          </w:tcPr>
          <w:p>
            <w:pPr>
              <w:pStyle w:val="15"/>
            </w:pPr>
            <w:r>
              <w:t>1.提升综合监管能力。</w:t>
            </w:r>
            <w:r>
              <w:tab/>
            </w:r>
            <w:r>
              <w:tab/>
            </w:r>
            <w:r>
              <w:tab/>
            </w:r>
            <w:r>
              <w:tab/>
            </w:r>
            <w:r>
              <w:tab/>
            </w:r>
            <w:r>
              <w:tab/>
            </w:r>
          </w:p>
          <w:p>
            <w:pPr>
              <w:pStyle w:val="15"/>
            </w:pPr>
            <w:r>
              <w:t>2.提升宣传引导、经办服务能力。</w:t>
            </w:r>
            <w:r>
              <w:tab/>
            </w:r>
            <w:r>
              <w:tab/>
            </w:r>
            <w:r>
              <w:tab/>
            </w:r>
            <w:r>
              <w:tab/>
            </w:r>
            <w:r>
              <w:tab/>
            </w:r>
            <w:r>
              <w:tab/>
            </w:r>
          </w:p>
          <w:p>
            <w:pPr>
              <w:pStyle w:val="15"/>
            </w:pPr>
            <w:r>
              <w:t>3.提升人才队伍建设等医疗保障服务能力。</w:t>
            </w:r>
            <w:r>
              <w:tab/>
            </w:r>
            <w:r>
              <w:tab/>
            </w:r>
            <w:r>
              <w:tab/>
            </w:r>
            <w:r>
              <w:tab/>
            </w:r>
            <w:r>
              <w:tab/>
            </w:r>
            <w:r>
              <w:tab/>
            </w:r>
          </w:p>
          <w:p>
            <w:pPr>
              <w:pStyle w:val="15"/>
            </w:pPr>
          </w:p>
        </w:tc>
      </w:tr>
    </w:tbl>
    <w:p>
      <w:pPr>
        <w:spacing w:line="2" w:lineRule="exact"/>
        <w:jc w:val="center"/>
      </w:pP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定点医药机构监督检查覆盖率</w:t>
            </w:r>
          </w:p>
        </w:tc>
        <w:tc>
          <w:tcPr>
            <w:tcW w:w="2891" w:type="dxa"/>
            <w:vAlign w:val="center"/>
          </w:tcPr>
          <w:p>
            <w:pPr>
              <w:pStyle w:val="15"/>
            </w:pPr>
            <w:r>
              <w:t>定点医药机构监督检查覆盖率</w:t>
            </w:r>
          </w:p>
        </w:tc>
        <w:tc>
          <w:tcPr>
            <w:tcW w:w="1276" w:type="dxa"/>
            <w:vAlign w:val="center"/>
          </w:tcPr>
          <w:p>
            <w:pPr>
              <w:pStyle w:val="15"/>
            </w:pPr>
            <w:r>
              <w:t>100%</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项目完成时间</w:t>
            </w:r>
          </w:p>
          <w:p>
            <w:pPr>
              <w:pStyle w:val="15"/>
            </w:pPr>
          </w:p>
        </w:tc>
        <w:tc>
          <w:tcPr>
            <w:tcW w:w="2891" w:type="dxa"/>
            <w:vAlign w:val="center"/>
          </w:tcPr>
          <w:p>
            <w:pPr>
              <w:pStyle w:val="15"/>
            </w:pPr>
            <w:r>
              <w:t>项目完成时间</w:t>
            </w:r>
          </w:p>
          <w:p>
            <w:pPr>
              <w:pStyle w:val="15"/>
            </w:pPr>
          </w:p>
        </w:tc>
        <w:tc>
          <w:tcPr>
            <w:tcW w:w="1276" w:type="dxa"/>
            <w:vAlign w:val="center"/>
          </w:tcPr>
          <w:p>
            <w:pPr>
              <w:pStyle w:val="15"/>
            </w:pPr>
            <w:r>
              <w:t>≤12月</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印刷宣传册成本</w:t>
            </w:r>
          </w:p>
        </w:tc>
        <w:tc>
          <w:tcPr>
            <w:tcW w:w="1276" w:type="dxa"/>
            <w:vAlign w:val="center"/>
          </w:tcPr>
          <w:p>
            <w:pPr>
              <w:pStyle w:val="15"/>
            </w:pPr>
            <w:r>
              <w:t>≤5万元</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监管水平</w:t>
            </w:r>
          </w:p>
        </w:tc>
        <w:tc>
          <w:tcPr>
            <w:tcW w:w="2891" w:type="dxa"/>
            <w:vAlign w:val="center"/>
          </w:tcPr>
          <w:p>
            <w:pPr>
              <w:pStyle w:val="15"/>
            </w:pPr>
            <w:r>
              <w:t>提高医疗保障监管水平，规范医疗保障服务行为</w:t>
            </w:r>
          </w:p>
        </w:tc>
        <w:tc>
          <w:tcPr>
            <w:tcW w:w="1276" w:type="dxa"/>
            <w:vAlign w:val="center"/>
          </w:tcPr>
          <w:p>
            <w:pPr>
              <w:pStyle w:val="15"/>
            </w:pPr>
            <w:r>
              <w:t>≥95%</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医保的可持续性发展</w:t>
            </w:r>
          </w:p>
        </w:tc>
        <w:tc>
          <w:tcPr>
            <w:tcW w:w="2891" w:type="dxa"/>
            <w:vAlign w:val="center"/>
          </w:tcPr>
          <w:p>
            <w:pPr>
              <w:pStyle w:val="15"/>
            </w:pPr>
            <w:r>
              <w:t>有利于医保的可持续性发展</w:t>
            </w:r>
          </w:p>
        </w:tc>
        <w:tc>
          <w:tcPr>
            <w:tcW w:w="1276" w:type="dxa"/>
            <w:vAlign w:val="center"/>
          </w:tcPr>
          <w:p>
            <w:pPr>
              <w:pStyle w:val="15"/>
            </w:pPr>
            <w:r>
              <w:t>有利于发展</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群众的对医保工作的满意度</w:t>
            </w:r>
          </w:p>
        </w:tc>
        <w:tc>
          <w:tcPr>
            <w:tcW w:w="1276" w:type="dxa"/>
            <w:vAlign w:val="center"/>
          </w:tcPr>
          <w:p>
            <w:pPr>
              <w:pStyle w:val="15"/>
            </w:pPr>
            <w:r>
              <w:t>≥95%</w:t>
            </w:r>
          </w:p>
        </w:tc>
        <w:tc>
          <w:tcPr>
            <w:tcW w:w="1843" w:type="dxa"/>
            <w:vAlign w:val="center"/>
          </w:tcPr>
          <w:p>
            <w:pPr>
              <w:pStyle w:val="15"/>
            </w:pPr>
            <w:r>
              <w:t>问卷调查</w:t>
            </w:r>
          </w:p>
        </w:tc>
      </w:tr>
    </w:tbl>
    <w:p>
      <w:pPr>
        <w:sectPr>
          <w:pgSz w:w="16840" w:h="11900" w:orient="landscape"/>
          <w:pgMar w:top="1304" w:right="1134" w:bottom="1304" w:left="198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color w:val="000000"/>
          <w:sz w:val="28"/>
        </w:rPr>
        <w:t>4.冀财预（2021）74号在职人员工资绩效目标表</w:t>
      </w:r>
      <w:bookmarkEnd w:id="3"/>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vAlign w:val="center"/>
          </w:tcPr>
          <w:p>
            <w:pPr>
              <w:pStyle w:val="15"/>
            </w:pPr>
            <w:r>
              <w:t>1.保障单位职工的工资发放</w:t>
            </w:r>
          </w:p>
          <w:p>
            <w:pPr>
              <w:pStyle w:val="15"/>
            </w:pPr>
            <w:r>
              <w:t>2.保障单位位各项业务正常开展</w:t>
            </w:r>
          </w:p>
          <w:p>
            <w:pPr>
              <w:pStyle w:val="15"/>
            </w:pPr>
            <w:r>
              <w:t>3.保障单位的正常运转，提升医保服务能力</w:t>
            </w:r>
          </w:p>
        </w:tc>
      </w:tr>
    </w:tbl>
    <w:p>
      <w:pPr>
        <w:spacing w:line="2" w:lineRule="exact"/>
        <w:jc w:val="center"/>
      </w:pP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人员数量</w:t>
            </w:r>
          </w:p>
        </w:tc>
        <w:tc>
          <w:tcPr>
            <w:tcW w:w="2891" w:type="dxa"/>
            <w:vAlign w:val="center"/>
          </w:tcPr>
          <w:p>
            <w:pPr>
              <w:pStyle w:val="15"/>
            </w:pPr>
            <w:r>
              <w:t>单位职工的数量</w:t>
            </w:r>
          </w:p>
        </w:tc>
        <w:tc>
          <w:tcPr>
            <w:tcW w:w="1276" w:type="dxa"/>
            <w:vAlign w:val="center"/>
          </w:tcPr>
          <w:p>
            <w:pPr>
              <w:pStyle w:val="15"/>
            </w:pPr>
            <w:r>
              <w:t>11人</w:t>
            </w:r>
          </w:p>
        </w:tc>
        <w:tc>
          <w:tcPr>
            <w:tcW w:w="1843"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业务开展率</w:t>
            </w:r>
          </w:p>
        </w:tc>
        <w:tc>
          <w:tcPr>
            <w:tcW w:w="2891" w:type="dxa"/>
            <w:vAlign w:val="center"/>
          </w:tcPr>
          <w:p>
            <w:pPr>
              <w:pStyle w:val="15"/>
            </w:pPr>
            <w:r>
              <w:t>业务开展情况</w:t>
            </w:r>
          </w:p>
        </w:tc>
        <w:tc>
          <w:tcPr>
            <w:tcW w:w="1276" w:type="dxa"/>
            <w:vAlign w:val="center"/>
          </w:tcPr>
          <w:p>
            <w:pPr>
              <w:pStyle w:val="15"/>
            </w:pPr>
            <w:r>
              <w:t>≥95%</w:t>
            </w:r>
          </w:p>
        </w:tc>
        <w:tc>
          <w:tcPr>
            <w:tcW w:w="1843" w:type="dxa"/>
            <w:vAlign w:val="center"/>
          </w:tcPr>
          <w:p>
            <w:pPr>
              <w:pStyle w:val="15"/>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及时率</w:t>
            </w:r>
          </w:p>
        </w:tc>
        <w:tc>
          <w:tcPr>
            <w:tcW w:w="2891" w:type="dxa"/>
            <w:vAlign w:val="center"/>
          </w:tcPr>
          <w:p>
            <w:pPr>
              <w:pStyle w:val="15"/>
            </w:pPr>
            <w:r>
              <w:t>业务完成及时率</w:t>
            </w:r>
          </w:p>
        </w:tc>
        <w:tc>
          <w:tcPr>
            <w:tcW w:w="1276" w:type="dxa"/>
            <w:vAlign w:val="center"/>
          </w:tcPr>
          <w:p>
            <w:pPr>
              <w:pStyle w:val="15"/>
            </w:pPr>
            <w:r>
              <w:t>≥95%</w:t>
            </w:r>
          </w:p>
        </w:tc>
        <w:tc>
          <w:tcPr>
            <w:tcW w:w="1843"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人均成本</w:t>
            </w:r>
          </w:p>
        </w:tc>
        <w:tc>
          <w:tcPr>
            <w:tcW w:w="2891" w:type="dxa"/>
            <w:vAlign w:val="center"/>
          </w:tcPr>
          <w:p>
            <w:pPr>
              <w:pStyle w:val="15"/>
            </w:pPr>
            <w:r>
              <w:t>总成本/单位职工数量</w:t>
            </w:r>
          </w:p>
        </w:tc>
        <w:tc>
          <w:tcPr>
            <w:tcW w:w="1276" w:type="dxa"/>
            <w:vAlign w:val="center"/>
          </w:tcPr>
          <w:p>
            <w:pPr>
              <w:pStyle w:val="15"/>
            </w:pPr>
            <w:r>
              <w:t>≤0.73万元</w:t>
            </w:r>
          </w:p>
        </w:tc>
        <w:tc>
          <w:tcPr>
            <w:tcW w:w="1843" w:type="dxa"/>
            <w:vAlign w:val="center"/>
          </w:tcPr>
          <w:p>
            <w:pPr>
              <w:pStyle w:val="15"/>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工作运转率</w:t>
            </w:r>
          </w:p>
        </w:tc>
        <w:tc>
          <w:tcPr>
            <w:tcW w:w="2891" w:type="dxa"/>
            <w:vAlign w:val="center"/>
          </w:tcPr>
          <w:p>
            <w:pPr>
              <w:pStyle w:val="15"/>
            </w:pPr>
            <w:r>
              <w:t>保障城乡居民医保工作的正常运转</w:t>
            </w:r>
          </w:p>
        </w:tc>
        <w:tc>
          <w:tcPr>
            <w:tcW w:w="1276" w:type="dxa"/>
            <w:vAlign w:val="center"/>
          </w:tcPr>
          <w:p>
            <w:pPr>
              <w:pStyle w:val="15"/>
            </w:pPr>
            <w:r>
              <w:t>≥95%</w:t>
            </w:r>
          </w:p>
        </w:tc>
        <w:tc>
          <w:tcPr>
            <w:tcW w:w="1843"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设备持久度</w:t>
            </w:r>
          </w:p>
        </w:tc>
        <w:tc>
          <w:tcPr>
            <w:tcW w:w="2891" w:type="dxa"/>
            <w:vAlign w:val="center"/>
          </w:tcPr>
          <w:p>
            <w:pPr>
              <w:pStyle w:val="15"/>
            </w:pPr>
            <w:r>
              <w:t>保障城乡居民医保工作的正常运转</w:t>
            </w:r>
          </w:p>
        </w:tc>
        <w:tc>
          <w:tcPr>
            <w:tcW w:w="1276" w:type="dxa"/>
            <w:vAlign w:val="center"/>
          </w:tcPr>
          <w:p>
            <w:pPr>
              <w:pStyle w:val="15"/>
            </w:pPr>
            <w:r>
              <w:t>≥1年</w:t>
            </w:r>
          </w:p>
        </w:tc>
        <w:tc>
          <w:tcPr>
            <w:tcW w:w="1843" w:type="dxa"/>
            <w:vAlign w:val="center"/>
          </w:tcPr>
          <w:p>
            <w:pPr>
              <w:pStyle w:val="15"/>
            </w:pPr>
            <w: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人员满意度</w:t>
            </w:r>
          </w:p>
        </w:tc>
        <w:tc>
          <w:tcPr>
            <w:tcW w:w="2891" w:type="dxa"/>
            <w:vAlign w:val="center"/>
          </w:tcPr>
          <w:p>
            <w:pPr>
              <w:pStyle w:val="15"/>
            </w:pPr>
            <w:r>
              <w:t>服务人员满意度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6840" w:h="11900" w:orient="landscape"/>
          <w:pgMar w:top="1304" w:right="1134" w:bottom="1304" w:left="198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color w:val="000000"/>
          <w:sz w:val="28"/>
        </w:rPr>
        <w:t>5.聘请第三方经费绩效目标表</w:t>
      </w:r>
      <w:bookmarkEnd w:id="4"/>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vAlign w:val="center"/>
          </w:tcPr>
          <w:p>
            <w:pPr>
              <w:pStyle w:val="15"/>
            </w:pPr>
            <w:r>
              <w:t>1.通过引入第三方力量协助我局进行基金监管工作，提升监管水平，维护医保基金安全。</w:t>
            </w:r>
          </w:p>
          <w:p>
            <w:pPr>
              <w:pStyle w:val="15"/>
            </w:pPr>
            <w:r>
              <w:t>2.加强定点医药机构服务与管理，规范医疗服务行为，提高医保基金使用率。</w:t>
            </w:r>
          </w:p>
        </w:tc>
      </w:tr>
    </w:tbl>
    <w:p>
      <w:pPr>
        <w:spacing w:line="2" w:lineRule="exact"/>
        <w:jc w:val="center"/>
      </w:pP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审计次数</w:t>
            </w:r>
          </w:p>
        </w:tc>
        <w:tc>
          <w:tcPr>
            <w:tcW w:w="2891" w:type="dxa"/>
            <w:vAlign w:val="center"/>
          </w:tcPr>
          <w:p>
            <w:pPr>
              <w:pStyle w:val="15"/>
            </w:pPr>
            <w:r>
              <w:t>对全县定点医药机构审计的次数</w:t>
            </w:r>
          </w:p>
        </w:tc>
        <w:tc>
          <w:tcPr>
            <w:tcW w:w="1276" w:type="dxa"/>
            <w:vAlign w:val="center"/>
          </w:tcPr>
          <w:p>
            <w:pPr>
              <w:pStyle w:val="15"/>
            </w:pPr>
            <w:r>
              <w:t>≥1次</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审计工作完成率</w:t>
            </w:r>
          </w:p>
        </w:tc>
        <w:tc>
          <w:tcPr>
            <w:tcW w:w="2891" w:type="dxa"/>
            <w:vAlign w:val="center"/>
          </w:tcPr>
          <w:p>
            <w:pPr>
              <w:pStyle w:val="15"/>
            </w:pPr>
            <w:r>
              <w:t>审计工作按质按量完成</w:t>
            </w:r>
          </w:p>
        </w:tc>
        <w:tc>
          <w:tcPr>
            <w:tcW w:w="1276" w:type="dxa"/>
            <w:vAlign w:val="center"/>
          </w:tcPr>
          <w:p>
            <w:pPr>
              <w:pStyle w:val="15"/>
            </w:pPr>
            <w:r>
              <w:t>100%</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工作时长</w:t>
            </w:r>
          </w:p>
        </w:tc>
        <w:tc>
          <w:tcPr>
            <w:tcW w:w="2891" w:type="dxa"/>
            <w:vAlign w:val="center"/>
          </w:tcPr>
          <w:p>
            <w:pPr>
              <w:pStyle w:val="15"/>
            </w:pPr>
            <w:r>
              <w:t>完成工作的时间</w:t>
            </w:r>
          </w:p>
        </w:tc>
        <w:tc>
          <w:tcPr>
            <w:tcW w:w="1276" w:type="dxa"/>
            <w:vAlign w:val="center"/>
          </w:tcPr>
          <w:p>
            <w:pPr>
              <w:pStyle w:val="15"/>
            </w:pPr>
            <w:r>
              <w:t>1年</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定点年度考核和审计的月均成本</w:t>
            </w:r>
          </w:p>
        </w:tc>
        <w:tc>
          <w:tcPr>
            <w:tcW w:w="1276" w:type="dxa"/>
            <w:vAlign w:val="center"/>
          </w:tcPr>
          <w:p>
            <w:pPr>
              <w:pStyle w:val="15"/>
            </w:pPr>
            <w:r>
              <w:t>≤2.47万元</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监管水平</w:t>
            </w:r>
          </w:p>
        </w:tc>
        <w:tc>
          <w:tcPr>
            <w:tcW w:w="2891" w:type="dxa"/>
            <w:vAlign w:val="center"/>
          </w:tcPr>
          <w:p>
            <w:pPr>
              <w:pStyle w:val="15"/>
            </w:pPr>
            <w:r>
              <w:t>提高医疗保障监管水平，规范医疗保障服务行为</w:t>
            </w:r>
          </w:p>
        </w:tc>
        <w:tc>
          <w:tcPr>
            <w:tcW w:w="1276" w:type="dxa"/>
            <w:vAlign w:val="center"/>
          </w:tcPr>
          <w:p>
            <w:pPr>
              <w:pStyle w:val="15"/>
            </w:pPr>
            <w:r>
              <w:t>≥95%</w:t>
            </w:r>
          </w:p>
        </w:tc>
        <w:tc>
          <w:tcPr>
            <w:tcW w:w="184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医保的可持续性发展</w:t>
            </w:r>
          </w:p>
        </w:tc>
        <w:tc>
          <w:tcPr>
            <w:tcW w:w="2891" w:type="dxa"/>
            <w:vAlign w:val="center"/>
          </w:tcPr>
          <w:p>
            <w:pPr>
              <w:pStyle w:val="15"/>
            </w:pPr>
            <w:r>
              <w:t>有利于医保的可持续性发展</w:t>
            </w:r>
          </w:p>
        </w:tc>
        <w:tc>
          <w:tcPr>
            <w:tcW w:w="1276" w:type="dxa"/>
            <w:vAlign w:val="center"/>
          </w:tcPr>
          <w:p>
            <w:pPr>
              <w:pStyle w:val="15"/>
            </w:pPr>
            <w:r>
              <w:t>有利于发展</w:t>
            </w:r>
          </w:p>
        </w:tc>
        <w:tc>
          <w:tcPr>
            <w:tcW w:w="184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群众的对医保工作的满意度</w:t>
            </w:r>
          </w:p>
        </w:tc>
        <w:tc>
          <w:tcPr>
            <w:tcW w:w="1276" w:type="dxa"/>
            <w:vAlign w:val="center"/>
          </w:tcPr>
          <w:p>
            <w:pPr>
              <w:pStyle w:val="15"/>
            </w:pPr>
            <w:r>
              <w:t>≥95%</w:t>
            </w:r>
          </w:p>
        </w:tc>
        <w:tc>
          <w:tcPr>
            <w:tcW w:w="1843" w:type="dxa"/>
            <w:vAlign w:val="center"/>
          </w:tcPr>
          <w:p>
            <w:pPr>
              <w:pStyle w:val="15"/>
            </w:pPr>
            <w:r>
              <w:t>实际调查情况</w:t>
            </w:r>
          </w:p>
        </w:tc>
      </w:tr>
    </w:tbl>
    <w:p>
      <w:pPr>
        <w:sectPr>
          <w:pgSz w:w="16840" w:h="11900" w:orient="landscape"/>
          <w:pgMar w:top="1304" w:right="1134" w:bottom="1304" w:left="198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color w:val="000000"/>
          <w:sz w:val="28"/>
        </w:rPr>
        <w:t>6.医药管理和基金监管经费绩效目标表</w:t>
      </w:r>
      <w:bookmarkEnd w:id="5"/>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vAlign w:val="center"/>
          </w:tcPr>
          <w:p>
            <w:pPr>
              <w:pStyle w:val="15"/>
            </w:pPr>
            <w:r>
              <w:t>1.通加强宣传医疗保障政策法规，营造全社会关注并自觉维护医疗保障基金安全的良好氛围。</w:t>
            </w:r>
          </w:p>
          <w:p>
            <w:pPr>
              <w:pStyle w:val="15"/>
            </w:pPr>
            <w:r>
              <w:t>2.增强医患双方遵守医保政策的自觉性。</w:t>
            </w:r>
          </w:p>
          <w:p>
            <w:pPr>
              <w:pStyle w:val="15"/>
            </w:pPr>
            <w:r>
              <w:t>3.保障医保基金的安全运行。</w:t>
            </w:r>
          </w:p>
        </w:tc>
      </w:tr>
    </w:tbl>
    <w:p>
      <w:pPr>
        <w:spacing w:line="2" w:lineRule="exact"/>
        <w:jc w:val="center"/>
      </w:pP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公交车数量</w:t>
            </w:r>
          </w:p>
        </w:tc>
        <w:tc>
          <w:tcPr>
            <w:tcW w:w="2891" w:type="dxa"/>
            <w:vAlign w:val="center"/>
          </w:tcPr>
          <w:p>
            <w:pPr>
              <w:pStyle w:val="15"/>
            </w:pPr>
            <w:r>
              <w:t>公交车宣传的数量</w:t>
            </w:r>
          </w:p>
        </w:tc>
        <w:tc>
          <w:tcPr>
            <w:tcW w:w="1276" w:type="dxa"/>
            <w:vAlign w:val="center"/>
          </w:tcPr>
          <w:p>
            <w:pPr>
              <w:pStyle w:val="15"/>
            </w:pPr>
            <w:r>
              <w:t>140辆</w:t>
            </w:r>
          </w:p>
        </w:tc>
        <w:tc>
          <w:tcPr>
            <w:tcW w:w="1843" w:type="dxa"/>
            <w:vAlign w:val="center"/>
          </w:tcPr>
          <w:p>
            <w:pPr>
              <w:pStyle w:val="15"/>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日常宣传</w:t>
            </w:r>
          </w:p>
        </w:tc>
        <w:tc>
          <w:tcPr>
            <w:tcW w:w="2891" w:type="dxa"/>
            <w:vAlign w:val="center"/>
          </w:tcPr>
          <w:p>
            <w:pPr>
              <w:pStyle w:val="15"/>
            </w:pPr>
            <w:r>
              <w:t>日常宣传工作开展月数</w:t>
            </w:r>
          </w:p>
        </w:tc>
        <w:tc>
          <w:tcPr>
            <w:tcW w:w="1276" w:type="dxa"/>
            <w:vAlign w:val="center"/>
          </w:tcPr>
          <w:p>
            <w:pPr>
              <w:pStyle w:val="15"/>
            </w:pPr>
            <w:r>
              <w:t>12月</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宣传工作完成率</w:t>
            </w:r>
          </w:p>
        </w:tc>
        <w:tc>
          <w:tcPr>
            <w:tcW w:w="2891" w:type="dxa"/>
            <w:vAlign w:val="center"/>
          </w:tcPr>
          <w:p>
            <w:pPr>
              <w:pStyle w:val="15"/>
            </w:pPr>
            <w:r>
              <w:t>开展宣传工作保质保量完成</w:t>
            </w:r>
          </w:p>
        </w:tc>
        <w:tc>
          <w:tcPr>
            <w:tcW w:w="1276" w:type="dxa"/>
            <w:vAlign w:val="center"/>
          </w:tcPr>
          <w:p>
            <w:pPr>
              <w:pStyle w:val="15"/>
            </w:pPr>
            <w:r>
              <w:t>100%</w:t>
            </w:r>
          </w:p>
        </w:tc>
        <w:tc>
          <w:tcPr>
            <w:tcW w:w="184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工作时长</w:t>
            </w:r>
          </w:p>
        </w:tc>
        <w:tc>
          <w:tcPr>
            <w:tcW w:w="2891" w:type="dxa"/>
            <w:vAlign w:val="center"/>
          </w:tcPr>
          <w:p>
            <w:pPr>
              <w:pStyle w:val="15"/>
            </w:pPr>
            <w:r>
              <w:t>完成宣传工作的时间</w:t>
            </w:r>
          </w:p>
        </w:tc>
        <w:tc>
          <w:tcPr>
            <w:tcW w:w="1276" w:type="dxa"/>
            <w:vAlign w:val="center"/>
          </w:tcPr>
          <w:p>
            <w:pPr>
              <w:pStyle w:val="15"/>
            </w:pPr>
            <w:r>
              <w:t>≤12月</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公交车宣传单位成本</w:t>
            </w:r>
          </w:p>
        </w:tc>
        <w:tc>
          <w:tcPr>
            <w:tcW w:w="2891" w:type="dxa"/>
            <w:vAlign w:val="center"/>
          </w:tcPr>
          <w:p>
            <w:pPr>
              <w:pStyle w:val="15"/>
            </w:pPr>
            <w:r>
              <w:t>每辆公交车宣传费用</w:t>
            </w:r>
          </w:p>
        </w:tc>
        <w:tc>
          <w:tcPr>
            <w:tcW w:w="1276" w:type="dxa"/>
            <w:vAlign w:val="center"/>
          </w:tcPr>
          <w:p>
            <w:pPr>
              <w:pStyle w:val="15"/>
            </w:pPr>
            <w:r>
              <w:t>&lt;1300元/辆</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日常宣传单位成本</w:t>
            </w:r>
          </w:p>
        </w:tc>
        <w:tc>
          <w:tcPr>
            <w:tcW w:w="2891" w:type="dxa"/>
            <w:vAlign w:val="center"/>
          </w:tcPr>
          <w:p>
            <w:pPr>
              <w:pStyle w:val="15"/>
            </w:pPr>
            <w:r>
              <w:t>日常宣传每月单位成本</w:t>
            </w:r>
          </w:p>
        </w:tc>
        <w:tc>
          <w:tcPr>
            <w:tcW w:w="1276" w:type="dxa"/>
            <w:vAlign w:val="center"/>
          </w:tcPr>
          <w:p>
            <w:pPr>
              <w:pStyle w:val="15"/>
            </w:pPr>
            <w:r>
              <w:t>&lt;0.92万元/月</w:t>
            </w:r>
          </w:p>
        </w:tc>
        <w:tc>
          <w:tcPr>
            <w:tcW w:w="1843"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防范欺诈骗保认知率</w:t>
            </w:r>
          </w:p>
        </w:tc>
        <w:tc>
          <w:tcPr>
            <w:tcW w:w="2891" w:type="dxa"/>
            <w:vAlign w:val="center"/>
          </w:tcPr>
          <w:p>
            <w:pPr>
              <w:pStyle w:val="15"/>
            </w:pPr>
            <w:r>
              <w:t>通过宣传提高群众防范意识</w:t>
            </w:r>
          </w:p>
        </w:tc>
        <w:tc>
          <w:tcPr>
            <w:tcW w:w="1276" w:type="dxa"/>
            <w:vAlign w:val="center"/>
          </w:tcPr>
          <w:p>
            <w:pPr>
              <w:pStyle w:val="15"/>
            </w:pPr>
            <w:r>
              <w:t>≥95%</w:t>
            </w:r>
          </w:p>
        </w:tc>
        <w:tc>
          <w:tcPr>
            <w:tcW w:w="184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维护参保群众合法权益</w:t>
            </w:r>
          </w:p>
        </w:tc>
        <w:tc>
          <w:tcPr>
            <w:tcW w:w="2891" w:type="dxa"/>
            <w:vAlign w:val="center"/>
          </w:tcPr>
          <w:p>
            <w:pPr>
              <w:pStyle w:val="15"/>
            </w:pPr>
            <w:r>
              <w:t>维护了参保群众合法权益，打击杜绝欺诈骗保</w:t>
            </w:r>
          </w:p>
        </w:tc>
        <w:tc>
          <w:tcPr>
            <w:tcW w:w="1276" w:type="dxa"/>
            <w:vAlign w:val="center"/>
          </w:tcPr>
          <w:p>
            <w:pPr>
              <w:pStyle w:val="15"/>
            </w:pPr>
            <w:r>
              <w:t>有助于</w:t>
            </w:r>
          </w:p>
        </w:tc>
        <w:tc>
          <w:tcPr>
            <w:tcW w:w="1843" w:type="dxa"/>
            <w:vAlign w:val="center"/>
          </w:tcPr>
          <w:p>
            <w:pPr>
              <w:pStyle w:val="15"/>
            </w:pPr>
            <w:r>
              <w:t>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宣传对象满意度</w:t>
            </w:r>
          </w:p>
        </w:tc>
        <w:tc>
          <w:tcPr>
            <w:tcW w:w="2891" w:type="dxa"/>
            <w:vAlign w:val="center"/>
          </w:tcPr>
          <w:p>
            <w:pPr>
              <w:pStyle w:val="15"/>
            </w:pPr>
            <w:r>
              <w:t>宣传对象满意度</w:t>
            </w:r>
          </w:p>
        </w:tc>
        <w:tc>
          <w:tcPr>
            <w:tcW w:w="1276" w:type="dxa"/>
            <w:vAlign w:val="center"/>
          </w:tcPr>
          <w:p>
            <w:pPr>
              <w:pStyle w:val="15"/>
            </w:pPr>
            <w:r>
              <w:t>≥95%</w:t>
            </w:r>
          </w:p>
        </w:tc>
        <w:tc>
          <w:tcPr>
            <w:tcW w:w="1843" w:type="dxa"/>
            <w:vAlign w:val="center"/>
          </w:tcPr>
          <w:p>
            <w:pPr>
              <w:pStyle w:val="15"/>
            </w:pPr>
            <w:r>
              <w:t>实际调查情况</w:t>
            </w:r>
          </w:p>
        </w:tc>
      </w:tr>
    </w:tbl>
    <w:p>
      <w:pPr>
        <w:spacing w:line="584" w:lineRule="exact"/>
        <w:ind w:firstLine="640" w:firstLineChars="200"/>
        <w:rPr>
          <w:rFonts w:ascii="Times New Roman" w:hAnsi="Times New Roman" w:eastAsia="黑体" w:cs="Times New Roman"/>
          <w:color w:val="FF000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2022年，我单位安排政府采购预算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rPr>
        <w:t>单位政府采购预算</w:t>
      </w:r>
      <w:bookmarkEnd w:id="7"/>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cs="Times New Roman"/>
                <w:sz w:val="24"/>
                <w:lang w:val="en-US" w:eastAsia="zh-CN"/>
              </w:rPr>
              <w:t>医疗保障局（本级）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医疗保障局（本级）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73.62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总额为2万元，</w:t>
      </w:r>
      <w:r>
        <w:rPr>
          <w:rFonts w:ascii="Times New Roman" w:hAnsi="Times New Roman" w:eastAsia="仿宋_GB2312" w:cs="Times New Roman"/>
          <w:sz w:val="32"/>
          <w:szCs w:val="32"/>
        </w:rPr>
        <w:t>主要为计算机设备、打印设备、办公家具等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不涉及政府采购预算</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医疗保障局（本级）</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73.62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54.56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A451D"/>
    <w:rsid w:val="001C1ECC"/>
    <w:rsid w:val="002C7716"/>
    <w:rsid w:val="0035373D"/>
    <w:rsid w:val="00391F8B"/>
    <w:rsid w:val="003C7F13"/>
    <w:rsid w:val="00427077"/>
    <w:rsid w:val="004A1E94"/>
    <w:rsid w:val="004A34CA"/>
    <w:rsid w:val="004A54AA"/>
    <w:rsid w:val="004F2381"/>
    <w:rsid w:val="00547D94"/>
    <w:rsid w:val="00587CE2"/>
    <w:rsid w:val="005C0085"/>
    <w:rsid w:val="005D28CB"/>
    <w:rsid w:val="00624994"/>
    <w:rsid w:val="00660AC0"/>
    <w:rsid w:val="006C289E"/>
    <w:rsid w:val="00741520"/>
    <w:rsid w:val="00773194"/>
    <w:rsid w:val="007B7274"/>
    <w:rsid w:val="007C03A7"/>
    <w:rsid w:val="007D234F"/>
    <w:rsid w:val="008928D7"/>
    <w:rsid w:val="00940421"/>
    <w:rsid w:val="009470FA"/>
    <w:rsid w:val="009C0E60"/>
    <w:rsid w:val="009D6EC9"/>
    <w:rsid w:val="00A23D3A"/>
    <w:rsid w:val="00A31F32"/>
    <w:rsid w:val="00A32D70"/>
    <w:rsid w:val="00A5751E"/>
    <w:rsid w:val="00AB1BD0"/>
    <w:rsid w:val="00B11969"/>
    <w:rsid w:val="00B80935"/>
    <w:rsid w:val="00BB3907"/>
    <w:rsid w:val="00BC308F"/>
    <w:rsid w:val="00BC7002"/>
    <w:rsid w:val="00BD1ACE"/>
    <w:rsid w:val="00C06C2E"/>
    <w:rsid w:val="00C67DA3"/>
    <w:rsid w:val="00CA2252"/>
    <w:rsid w:val="00D23339"/>
    <w:rsid w:val="00D347CC"/>
    <w:rsid w:val="00D37EF0"/>
    <w:rsid w:val="00D77538"/>
    <w:rsid w:val="00DC702A"/>
    <w:rsid w:val="00E90A95"/>
    <w:rsid w:val="00EC3A8E"/>
    <w:rsid w:val="00EE67B1"/>
    <w:rsid w:val="00F85553"/>
    <w:rsid w:val="01CD13AE"/>
    <w:rsid w:val="07333C89"/>
    <w:rsid w:val="083D5C6B"/>
    <w:rsid w:val="0A626EDC"/>
    <w:rsid w:val="0EAB1B0E"/>
    <w:rsid w:val="128F740D"/>
    <w:rsid w:val="13447393"/>
    <w:rsid w:val="18275A6F"/>
    <w:rsid w:val="3D031AB2"/>
    <w:rsid w:val="456531D9"/>
    <w:rsid w:val="4BD16B4B"/>
    <w:rsid w:val="4C830436"/>
    <w:rsid w:val="56CC0205"/>
    <w:rsid w:val="74793638"/>
    <w:rsid w:val="77371AEE"/>
    <w:rsid w:val="7C60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1003</Words>
  <Characters>5718</Characters>
  <Lines>47</Lines>
  <Paragraphs>13</Paragraphs>
  <TotalTime>0</TotalTime>
  <ScaleCrop>false</ScaleCrop>
  <LinksUpToDate>false</LinksUpToDate>
  <CharactersWithSpaces>6708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2022-03-11T01:49:00Z</dcterms:created>
  <dc:creator>guest</dc:creator>
  <cp:lastModifiedBy>Administrator</cp:lastModifiedBy>
  <cp:lastPrinted>2018-01-30T06:12:00Z</cp:lastPrinted>
  <dcterms:modified xsi:type="dcterms:W3CDTF">2023-08-16T02:54:20Z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166C752D5ED748109CD690215846BF3D</vt:lpwstr>
  </property>
</Properties>
</file>